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89" w:rsidRDefault="007C3989" w:rsidP="00517CB0">
      <w:pPr>
        <w:pStyle w:val="Titre"/>
      </w:pPr>
      <w:r>
        <w:t>Engrenages, crémaillères,…</w:t>
      </w:r>
    </w:p>
    <w:p w:rsidR="009000B8" w:rsidRDefault="007C3989" w:rsidP="00517CB0">
      <w:pPr>
        <w:pStyle w:val="Titre"/>
      </w:pPr>
      <w:proofErr w:type="gramStart"/>
      <w:r>
        <w:t>petits</w:t>
      </w:r>
      <w:proofErr w:type="gramEnd"/>
      <w:r>
        <w:t xml:space="preserve"> modules</w:t>
      </w:r>
    </w:p>
    <w:p w:rsidR="009000B8" w:rsidRPr="009000B8" w:rsidRDefault="009000B8" w:rsidP="009000B8"/>
    <w:p w:rsidR="00CC0B0B" w:rsidRDefault="00E856E2" w:rsidP="00E856E2">
      <w:pPr>
        <w:pStyle w:val="Titre"/>
      </w:pPr>
      <w:r>
        <w:rPr>
          <w:noProof/>
        </w:rPr>
        <w:drawing>
          <wp:inline distT="0" distB="0" distL="0" distR="0" wp14:anchorId="77264132" wp14:editId="11A01321">
            <wp:extent cx="2762250" cy="2762250"/>
            <wp:effectExtent l="0" t="0" r="0" b="0"/>
            <wp:docPr id="1" name="Image 1" descr="\\NAS-TRAVAIL-MKT\Marketing\GRINGOTTS\DocCommerciaux\DossierPresse\2016-2017\PetitsModules\Petitsmod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6-2017\PetitsModules\Petitsmodu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B0" w:rsidRDefault="00517CB0" w:rsidP="00517CB0">
      <w:pPr>
        <w:jc w:val="center"/>
      </w:pPr>
    </w:p>
    <w:p w:rsidR="00517CB0" w:rsidRDefault="00517CB0" w:rsidP="00517CB0">
      <w:pPr>
        <w:jc w:val="center"/>
      </w:pPr>
    </w:p>
    <w:p w:rsidR="000C12D1" w:rsidRDefault="000C12D1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eastAsia="en-US"/>
        </w:rPr>
      </w:pPr>
    </w:p>
    <w:p w:rsidR="00337424" w:rsidRDefault="007C3989" w:rsidP="00517CB0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 w:rsidRPr="007C3989">
        <w:rPr>
          <w:rFonts w:eastAsiaTheme="minorHAnsi" w:cs="Tahoma"/>
          <w:szCs w:val="20"/>
          <w:lang w:eastAsia="en-US"/>
        </w:rPr>
        <w:t xml:space="preserve">Spécialiste </w:t>
      </w:r>
      <w:bookmarkStart w:id="0" w:name="_GoBack"/>
      <w:bookmarkEnd w:id="0"/>
      <w:r w:rsidRPr="007C3989">
        <w:rPr>
          <w:rFonts w:eastAsiaTheme="minorHAnsi" w:cs="Tahoma"/>
          <w:szCs w:val="20"/>
          <w:lang w:eastAsia="en-US"/>
        </w:rPr>
        <w:t>de la vente d’engrenages</w:t>
      </w:r>
      <w:r>
        <w:rPr>
          <w:rFonts w:eastAsiaTheme="minorHAnsi" w:cs="Tahoma"/>
          <w:b/>
          <w:szCs w:val="20"/>
          <w:lang w:eastAsia="en-US"/>
        </w:rPr>
        <w:t xml:space="preserve"> </w:t>
      </w:r>
      <w:r w:rsidRPr="007C3989">
        <w:rPr>
          <w:rFonts w:eastAsiaTheme="minorHAnsi" w:cs="Tahoma"/>
          <w:szCs w:val="20"/>
          <w:lang w:eastAsia="en-US"/>
        </w:rPr>
        <w:t>depuis plus de 20 ans</w:t>
      </w:r>
      <w:r>
        <w:rPr>
          <w:rFonts w:eastAsiaTheme="minorHAnsi" w:cs="Tahoma"/>
          <w:b/>
          <w:szCs w:val="20"/>
          <w:lang w:eastAsia="en-US"/>
        </w:rPr>
        <w:t xml:space="preserve">, </w:t>
      </w:r>
      <w:r w:rsidR="00517CB0" w:rsidRPr="000C12D1">
        <w:rPr>
          <w:rFonts w:eastAsiaTheme="minorHAnsi" w:cs="Tahoma"/>
          <w:b/>
          <w:szCs w:val="20"/>
          <w:lang w:eastAsia="en-US"/>
        </w:rPr>
        <w:t>ENGRENAGES HPC</w:t>
      </w:r>
      <w:r>
        <w:rPr>
          <w:rFonts w:eastAsiaTheme="minorHAnsi" w:cs="Tahoma"/>
          <w:szCs w:val="20"/>
          <w:lang w:eastAsia="en-US"/>
        </w:rPr>
        <w:t xml:space="preserve"> propose à son catalogue une vaste gamme d’engrenages, de crémaillères, de roues et vis sans fin en module inférieur à 1. </w:t>
      </w:r>
      <w:r w:rsidR="00BB018A">
        <w:rPr>
          <w:rFonts w:eastAsiaTheme="minorHAnsi" w:cs="Tahoma"/>
          <w:szCs w:val="20"/>
          <w:lang w:eastAsia="en-US"/>
        </w:rPr>
        <w:t>Pour répondre rapidement à tous les besoins, d</w:t>
      </w:r>
      <w:r>
        <w:rPr>
          <w:rFonts w:eastAsiaTheme="minorHAnsi" w:cs="Tahoma"/>
          <w:szCs w:val="20"/>
          <w:lang w:eastAsia="en-US"/>
        </w:rPr>
        <w:t>e nombreux modèles déclinés principalement en acier, inox ou plastique sont disponibles en stock.</w:t>
      </w:r>
      <w:r w:rsidR="00BB018A">
        <w:rPr>
          <w:rFonts w:eastAsiaTheme="minorHAnsi" w:cs="Tahoma"/>
          <w:szCs w:val="20"/>
          <w:lang w:eastAsia="en-US"/>
        </w:rPr>
        <w:t xml:space="preserve"> Toutes les références sont vendues à l’unité et  bénéficie de remises sur quantité. Elles peuvent également être modifiées à la demande du client</w:t>
      </w:r>
      <w:r w:rsidR="00E856E2">
        <w:rPr>
          <w:rFonts w:eastAsiaTheme="minorHAnsi" w:cs="Tahoma"/>
          <w:szCs w:val="20"/>
          <w:lang w:eastAsia="en-US"/>
        </w:rPr>
        <w:t xml:space="preserve"> ou réalisées selon plan</w:t>
      </w:r>
      <w:r w:rsidR="00BB018A">
        <w:rPr>
          <w:rFonts w:eastAsiaTheme="minorHAnsi" w:cs="Tahoma"/>
          <w:szCs w:val="20"/>
          <w:lang w:eastAsia="en-US"/>
        </w:rPr>
        <w:t>.</w:t>
      </w:r>
    </w:p>
    <w:p w:rsidR="009000B8" w:rsidRDefault="009000B8" w:rsidP="00517CB0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</w:p>
    <w:p w:rsidR="009000B8" w:rsidRPr="009000B8" w:rsidRDefault="007C3989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eastAsia="en-US"/>
        </w:rPr>
      </w:pPr>
      <w:r>
        <w:rPr>
          <w:rFonts w:eastAsiaTheme="minorHAnsi" w:cs="Tahoma"/>
          <w:b/>
          <w:szCs w:val="20"/>
          <w:lang w:eastAsia="en-US"/>
        </w:rPr>
        <w:t>La gamme</w:t>
      </w:r>
      <w:r w:rsidR="009000B8" w:rsidRPr="009000B8">
        <w:rPr>
          <w:rFonts w:eastAsiaTheme="minorHAnsi" w:cs="Tahoma"/>
          <w:b/>
          <w:szCs w:val="20"/>
          <w:lang w:eastAsia="en-US"/>
        </w:rPr>
        <w:t xml:space="preserve"> comprend </w:t>
      </w:r>
      <w:r>
        <w:rPr>
          <w:rFonts w:eastAsiaTheme="minorHAnsi" w:cs="Tahoma"/>
          <w:b/>
          <w:szCs w:val="20"/>
          <w:lang w:eastAsia="en-US"/>
        </w:rPr>
        <w:t>des</w:t>
      </w:r>
      <w:r w:rsidR="009000B8" w:rsidRPr="009000B8">
        <w:rPr>
          <w:rFonts w:eastAsiaTheme="minorHAnsi" w:cs="Tahoma"/>
          <w:b/>
          <w:szCs w:val="20"/>
          <w:lang w:eastAsia="en-US"/>
        </w:rPr>
        <w:t>:</w:t>
      </w:r>
    </w:p>
    <w:p w:rsidR="00DA04B1" w:rsidRDefault="007C3989" w:rsidP="009000B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>Crémaillères inox à partir du module 0,25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 xml:space="preserve">Crémaillères acier et </w:t>
      </w:r>
      <w:proofErr w:type="spellStart"/>
      <w:r>
        <w:rPr>
          <w:rFonts w:eastAsiaTheme="minorHAnsi" w:cs="Tahoma"/>
          <w:szCs w:val="20"/>
          <w:lang w:eastAsia="en-US"/>
        </w:rPr>
        <w:t>delrin</w:t>
      </w:r>
      <w:proofErr w:type="spellEnd"/>
      <w:r>
        <w:rPr>
          <w:rFonts w:eastAsiaTheme="minorHAnsi" w:cs="Tahoma"/>
          <w:szCs w:val="20"/>
          <w:lang w:eastAsia="en-US"/>
        </w:rPr>
        <w:t xml:space="preserve"> à partir du module 0,4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>Engrenages droits inox à partir du module 0,25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 xml:space="preserve">Engrenages droits acier, laiton et </w:t>
      </w:r>
      <w:proofErr w:type="spellStart"/>
      <w:r>
        <w:rPr>
          <w:rFonts w:eastAsiaTheme="minorHAnsi" w:cs="Tahoma"/>
          <w:szCs w:val="20"/>
          <w:lang w:eastAsia="en-US"/>
        </w:rPr>
        <w:t>delrin</w:t>
      </w:r>
      <w:proofErr w:type="spellEnd"/>
      <w:r>
        <w:rPr>
          <w:rFonts w:eastAsiaTheme="minorHAnsi" w:cs="Tahoma"/>
          <w:szCs w:val="20"/>
          <w:lang w:eastAsia="en-US"/>
        </w:rPr>
        <w:t xml:space="preserve"> à partir du module 0,4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 xml:space="preserve">Engrenages coniques acier, inox et </w:t>
      </w:r>
      <w:proofErr w:type="spellStart"/>
      <w:r>
        <w:rPr>
          <w:rFonts w:eastAsiaTheme="minorHAnsi" w:cs="Tahoma"/>
          <w:szCs w:val="20"/>
          <w:lang w:eastAsia="en-US"/>
        </w:rPr>
        <w:t>delrin</w:t>
      </w:r>
      <w:proofErr w:type="spellEnd"/>
      <w:r>
        <w:rPr>
          <w:rFonts w:eastAsiaTheme="minorHAnsi" w:cs="Tahoma"/>
          <w:szCs w:val="20"/>
          <w:lang w:eastAsia="en-US"/>
        </w:rPr>
        <w:t xml:space="preserve"> à partir du module 0,8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 xml:space="preserve">Engrenages hélicoïdaux acier et </w:t>
      </w:r>
      <w:proofErr w:type="spellStart"/>
      <w:r>
        <w:rPr>
          <w:rFonts w:eastAsiaTheme="minorHAnsi" w:cs="Tahoma"/>
          <w:szCs w:val="20"/>
          <w:lang w:eastAsia="en-US"/>
        </w:rPr>
        <w:t>delrin</w:t>
      </w:r>
      <w:proofErr w:type="spellEnd"/>
      <w:r>
        <w:rPr>
          <w:rFonts w:eastAsiaTheme="minorHAnsi" w:cs="Tahoma"/>
          <w:szCs w:val="20"/>
          <w:lang w:eastAsia="en-US"/>
        </w:rPr>
        <w:t xml:space="preserve"> à partir du module 0,5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>Roues et vis sans fin à partir du module 0,4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>Engrenages doubles inox à partir du module 0,4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>Engrenages doubles acier à partir du module 0,5</w:t>
      </w:r>
    </w:p>
    <w:p w:rsidR="007C3989" w:rsidRDefault="007C3989" w:rsidP="007C398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 xml:space="preserve">Pignons </w:t>
      </w:r>
      <w:proofErr w:type="spellStart"/>
      <w:r>
        <w:rPr>
          <w:rFonts w:eastAsiaTheme="minorHAnsi" w:cs="Tahoma"/>
          <w:szCs w:val="20"/>
          <w:lang w:eastAsia="en-US"/>
        </w:rPr>
        <w:t>arbrés</w:t>
      </w:r>
      <w:proofErr w:type="spellEnd"/>
      <w:r>
        <w:rPr>
          <w:rFonts w:eastAsiaTheme="minorHAnsi" w:cs="Tahoma"/>
          <w:szCs w:val="20"/>
          <w:lang w:eastAsia="en-US"/>
        </w:rPr>
        <w:t xml:space="preserve"> inox à partir du module 0,25</w:t>
      </w:r>
    </w:p>
    <w:p w:rsidR="00DA04B1" w:rsidRPr="00BB018A" w:rsidRDefault="007C3989" w:rsidP="00BB018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>
        <w:rPr>
          <w:rFonts w:eastAsiaTheme="minorHAnsi" w:cs="Tahoma"/>
          <w:szCs w:val="20"/>
          <w:lang w:eastAsia="en-US"/>
        </w:rPr>
        <w:t>Engrenages internes acier et plastique usiné à partir du module 0,4</w:t>
      </w:r>
    </w:p>
    <w:p w:rsidR="00EA3A32" w:rsidRDefault="00EA3A32" w:rsidP="00AF1B7F">
      <w:pPr>
        <w:autoSpaceDE w:val="0"/>
        <w:autoSpaceDN w:val="0"/>
        <w:adjustRightInd w:val="0"/>
      </w:pPr>
    </w:p>
    <w:sectPr w:rsidR="00EA3A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8" w:rsidRDefault="00A86428" w:rsidP="00BE03DA">
      <w:r>
        <w:separator/>
      </w:r>
    </w:p>
  </w:endnote>
  <w:endnote w:type="continuationSeparator" w:id="0">
    <w:p w:rsidR="00A86428" w:rsidRDefault="00A8642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8" w:rsidRDefault="00A86428" w:rsidP="00BE03DA">
      <w:r>
        <w:separator/>
      </w:r>
    </w:p>
  </w:footnote>
  <w:footnote w:type="continuationSeparator" w:id="0">
    <w:p w:rsidR="00A86428" w:rsidRDefault="00A8642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29449" wp14:editId="0B1F8C1D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7C3989">
      <w:t>7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5D7"/>
    <w:multiLevelType w:val="hybridMultilevel"/>
    <w:tmpl w:val="24CE59F8"/>
    <w:lvl w:ilvl="0" w:tplc="8CFE73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346DF"/>
    <w:multiLevelType w:val="hybridMultilevel"/>
    <w:tmpl w:val="65A04228"/>
    <w:lvl w:ilvl="0" w:tplc="DCC885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C48"/>
    <w:multiLevelType w:val="hybridMultilevel"/>
    <w:tmpl w:val="2A44ECB6"/>
    <w:lvl w:ilvl="0" w:tplc="48B494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0C12D1"/>
    <w:rsid w:val="001066DE"/>
    <w:rsid w:val="0012530F"/>
    <w:rsid w:val="00154302"/>
    <w:rsid w:val="001846E1"/>
    <w:rsid w:val="001B353C"/>
    <w:rsid w:val="002011DB"/>
    <w:rsid w:val="00233743"/>
    <w:rsid w:val="002550F2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6C48"/>
    <w:rsid w:val="004506C1"/>
    <w:rsid w:val="00483216"/>
    <w:rsid w:val="004B50AB"/>
    <w:rsid w:val="004C0E13"/>
    <w:rsid w:val="004E2491"/>
    <w:rsid w:val="0050295F"/>
    <w:rsid w:val="00517CB0"/>
    <w:rsid w:val="005265D1"/>
    <w:rsid w:val="00542E6B"/>
    <w:rsid w:val="00544B52"/>
    <w:rsid w:val="00553D98"/>
    <w:rsid w:val="005924CA"/>
    <w:rsid w:val="005A17FE"/>
    <w:rsid w:val="005D2A57"/>
    <w:rsid w:val="005D7716"/>
    <w:rsid w:val="00600867"/>
    <w:rsid w:val="00604479"/>
    <w:rsid w:val="00697C67"/>
    <w:rsid w:val="006B1195"/>
    <w:rsid w:val="0070464E"/>
    <w:rsid w:val="007046FB"/>
    <w:rsid w:val="0072269E"/>
    <w:rsid w:val="0074590C"/>
    <w:rsid w:val="00795816"/>
    <w:rsid w:val="007973F7"/>
    <w:rsid w:val="007C3989"/>
    <w:rsid w:val="008214F1"/>
    <w:rsid w:val="00831412"/>
    <w:rsid w:val="008337E9"/>
    <w:rsid w:val="00836EF3"/>
    <w:rsid w:val="008E14D2"/>
    <w:rsid w:val="008F09FB"/>
    <w:rsid w:val="009000B8"/>
    <w:rsid w:val="009118AE"/>
    <w:rsid w:val="00966590"/>
    <w:rsid w:val="0097335E"/>
    <w:rsid w:val="00984650"/>
    <w:rsid w:val="00992608"/>
    <w:rsid w:val="00993B53"/>
    <w:rsid w:val="009C11FC"/>
    <w:rsid w:val="009D39C0"/>
    <w:rsid w:val="009E099C"/>
    <w:rsid w:val="009F2EBB"/>
    <w:rsid w:val="00A224D0"/>
    <w:rsid w:val="00A31542"/>
    <w:rsid w:val="00A718D6"/>
    <w:rsid w:val="00A71EBF"/>
    <w:rsid w:val="00A86428"/>
    <w:rsid w:val="00AA1918"/>
    <w:rsid w:val="00AD3A55"/>
    <w:rsid w:val="00AF1B7F"/>
    <w:rsid w:val="00B11C67"/>
    <w:rsid w:val="00B24A5D"/>
    <w:rsid w:val="00B37B5F"/>
    <w:rsid w:val="00B43D60"/>
    <w:rsid w:val="00B5675B"/>
    <w:rsid w:val="00B64731"/>
    <w:rsid w:val="00B677C1"/>
    <w:rsid w:val="00B70A63"/>
    <w:rsid w:val="00BB018A"/>
    <w:rsid w:val="00BB7505"/>
    <w:rsid w:val="00BC0455"/>
    <w:rsid w:val="00BD7F96"/>
    <w:rsid w:val="00BE03DA"/>
    <w:rsid w:val="00BF085B"/>
    <w:rsid w:val="00C018A3"/>
    <w:rsid w:val="00C12B98"/>
    <w:rsid w:val="00CA5B10"/>
    <w:rsid w:val="00CC0B0B"/>
    <w:rsid w:val="00CD0C38"/>
    <w:rsid w:val="00CE1CB5"/>
    <w:rsid w:val="00D1279E"/>
    <w:rsid w:val="00D25025"/>
    <w:rsid w:val="00D404E9"/>
    <w:rsid w:val="00D430A5"/>
    <w:rsid w:val="00D91F32"/>
    <w:rsid w:val="00D93AD6"/>
    <w:rsid w:val="00D94775"/>
    <w:rsid w:val="00DA04B1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F19"/>
    <w:rsid w:val="00E3509F"/>
    <w:rsid w:val="00E461DD"/>
    <w:rsid w:val="00E64984"/>
    <w:rsid w:val="00E737FC"/>
    <w:rsid w:val="00E856E2"/>
    <w:rsid w:val="00E9719F"/>
    <w:rsid w:val="00EA3A32"/>
    <w:rsid w:val="00EC5D9C"/>
    <w:rsid w:val="00F04E7B"/>
    <w:rsid w:val="00F56564"/>
    <w:rsid w:val="00F7449A"/>
    <w:rsid w:val="00F95D89"/>
    <w:rsid w:val="00FD090C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8</cp:revision>
  <cp:lastPrinted>2015-10-22T12:32:00Z</cp:lastPrinted>
  <dcterms:created xsi:type="dcterms:W3CDTF">2015-10-22T12:31:00Z</dcterms:created>
  <dcterms:modified xsi:type="dcterms:W3CDTF">2017-01-20T10:28:00Z</dcterms:modified>
</cp:coreProperties>
</file>